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4293" w:rsidRDefault="002849CE">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524293" w:rsidRDefault="00524293">
      <w:pPr>
        <w:keepNext/>
        <w:pBdr>
          <w:top w:val="nil"/>
          <w:left w:val="nil"/>
          <w:bottom w:val="nil"/>
          <w:right w:val="nil"/>
          <w:between w:val="nil"/>
        </w:pBdr>
        <w:jc w:val="left"/>
        <w:rPr>
          <w:rFonts w:ascii="Arial" w:eastAsia="Arial" w:hAnsi="Arial"/>
          <w:b/>
          <w:smallCaps/>
          <w:color w:val="000000"/>
          <w:sz w:val="36"/>
          <w:szCs w:val="36"/>
        </w:rPr>
      </w:pPr>
    </w:p>
    <w:p w:rsidR="00524293" w:rsidRDefault="002849C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bookmarkStart w:id="0" w:name="_GoBack"/>
      <w:bookmarkEnd w:id="0"/>
      <w:r>
        <w:rPr>
          <w:rFonts w:ascii="Arial Bold" w:eastAsia="Arial Bold" w:hAnsi="Arial Bold" w:cs="Arial Bold"/>
          <w:b/>
          <w:color w:val="000000"/>
          <w:sz w:val="24"/>
          <w:szCs w:val="24"/>
        </w:rPr>
        <w:t>Definitions</w:t>
      </w:r>
    </w:p>
    <w:p w:rsidR="00524293" w:rsidRDefault="002849CE">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524293" w:rsidRDefault="00524293">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center"/>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rsidR="00524293" w:rsidRDefault="002849CE">
            <w:pPr>
              <w:keepNext/>
              <w:pBdr>
                <w:top w:val="nil"/>
                <w:left w:val="nil"/>
                <w:bottom w:val="nil"/>
                <w:right w:val="nil"/>
                <w:between w:val="nil"/>
              </w:pBdr>
              <w:ind w:left="992" w:hanging="708"/>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524293">
        <w:tc>
          <w:tcPr>
            <w:tcW w:w="2704" w:type="dxa"/>
          </w:tcPr>
          <w:p w:rsidR="00524293" w:rsidRDefault="00524293">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p>
        </w:tc>
        <w:tc>
          <w:tcPr>
            <w:tcW w:w="5952" w:type="dxa"/>
          </w:tcPr>
          <w:p w:rsidR="00524293" w:rsidRDefault="00524293">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center"/>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524293">
        <w:tc>
          <w:tcPr>
            <w:tcW w:w="2704" w:type="dxa"/>
          </w:tcPr>
          <w:p w:rsidR="00524293" w:rsidRDefault="00524293">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p>
        </w:tc>
        <w:tc>
          <w:tcPr>
            <w:tcW w:w="5952" w:type="dxa"/>
          </w:tcPr>
          <w:p w:rsidR="00524293" w:rsidRDefault="00524293">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center"/>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 xml:space="preserve">means the </w:t>
            </w:r>
            <w:r w:rsidRPr="00EF787E">
              <w:rPr>
                <w:rFonts w:ascii="Arial" w:eastAsia="Arial" w:hAnsi="Arial"/>
                <w:color w:val="000000"/>
                <w:sz w:val="24"/>
                <w:szCs w:val="24"/>
              </w:rPr>
              <w:t xml:space="preserve">Supplier, </w:t>
            </w:r>
            <w:r w:rsidR="00EF787E">
              <w:rPr>
                <w:rFonts w:ascii="Arial" w:eastAsia="Arial" w:hAnsi="Arial"/>
                <w:color w:val="000000"/>
                <w:sz w:val="24"/>
                <w:szCs w:val="24"/>
              </w:rPr>
              <w:t xml:space="preserve">and </w:t>
            </w:r>
            <w:r w:rsidRPr="00EF787E">
              <w:rPr>
                <w:rFonts w:ascii="Arial" w:eastAsia="Arial" w:hAnsi="Arial"/>
                <w:color w:val="000000"/>
                <w:sz w:val="24"/>
                <w:szCs w:val="24"/>
              </w:rPr>
              <w:t>Key Sub-contractors</w:t>
            </w:r>
            <w:r w:rsidRPr="00EF787E">
              <w:rPr>
                <w:rFonts w:ascii="Arial" w:eastAsia="Arial" w:hAnsi="Arial"/>
                <w:color w:val="000000"/>
                <w:sz w:val="24"/>
                <w:szCs w:val="24"/>
              </w:rPr>
              <w:t>;</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bookmarkStart w:id="1" w:name="_heading=h.3dy6vkm" w:colFirst="0" w:colLast="0"/>
            <w:bookmarkEnd w:id="1"/>
            <w:r>
              <w:rPr>
                <w:rFonts w:ascii="Arial" w:eastAsia="Arial" w:hAnsi="Arial"/>
                <w:b/>
                <w:color w:val="000000"/>
                <w:sz w:val="24"/>
                <w:szCs w:val="24"/>
              </w:rPr>
              <w:t>“Financial Indicators”</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in respect of the Supplier, Key Sub-cont</w:t>
            </w:r>
            <w:r>
              <w:rPr>
                <w:rFonts w:ascii="Arial" w:eastAsia="Arial" w:hAnsi="Arial"/>
                <w:color w:val="000000"/>
                <w:sz w:val="24"/>
                <w:szCs w:val="24"/>
              </w:rPr>
              <w:t>ractors and the Guarantor, means each of the financial indicators set out at paragraph 5.1 of this Schedule and in respect of each Monitored Supplier, means those Applicable Financial Indicators;</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524293">
        <w:tc>
          <w:tcPr>
            <w:tcW w:w="2704" w:type="dxa"/>
          </w:tcPr>
          <w:p w:rsidR="00524293" w:rsidRDefault="002849CE">
            <w:pPr>
              <w:pBdr>
                <w:top w:val="nil"/>
                <w:left w:val="nil"/>
                <w:bottom w:val="nil"/>
                <w:right w:val="nil"/>
                <w:between w:val="nil"/>
              </w:pBdr>
              <w:tabs>
                <w:tab w:val="left" w:pos="1275"/>
              </w:tabs>
              <w:spacing w:before="120" w:after="120"/>
              <w:ind w:left="850" w:hanging="992"/>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524293" w:rsidRDefault="002849CE">
            <w:pPr>
              <w:pBdr>
                <w:top w:val="nil"/>
                <w:left w:val="nil"/>
                <w:bottom w:val="nil"/>
                <w:right w:val="nil"/>
                <w:between w:val="nil"/>
              </w:pBdr>
              <w:tabs>
                <w:tab w:val="left" w:pos="1134"/>
              </w:tabs>
              <w:spacing w:before="120" w:after="120"/>
              <w:ind w:left="992" w:hanging="708"/>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524293" w:rsidRDefault="002849CE">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FDE Group and the consequences of a change to that financial standing.</w:t>
      </w:r>
    </w:p>
    <w:p w:rsidR="00524293" w:rsidRDefault="002849CE">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terms of this Schedule shall survive: </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524293" w:rsidRDefault="00524293">
      <w:pPr>
        <w:pBdr>
          <w:top w:val="nil"/>
          <w:left w:val="nil"/>
          <w:bottom w:val="nil"/>
          <w:right w:val="nil"/>
          <w:between w:val="nil"/>
        </w:pBdr>
        <w:tabs>
          <w:tab w:val="left" w:pos="1134"/>
        </w:tabs>
        <w:spacing w:before="120" w:after="120"/>
        <w:ind w:left="936" w:hanging="1004"/>
        <w:jc w:val="left"/>
        <w:rPr>
          <w:rFonts w:ascii="Arial Bold" w:eastAsia="Arial Bold" w:hAnsi="Arial Bold" w:cs="Arial Bold"/>
          <w:color w:val="000000"/>
          <w:sz w:val="24"/>
          <w:szCs w:val="24"/>
        </w:rPr>
      </w:pPr>
    </w:p>
    <w:p w:rsidR="00524293" w:rsidRDefault="002849C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524293" w:rsidRDefault="002849C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w:t>
      </w:r>
      <w:r>
        <w:rPr>
          <w:rFonts w:ascii="Arial" w:eastAsia="Arial" w:hAnsi="Arial"/>
          <w:color w:val="000000"/>
          <w:sz w:val="24"/>
          <w:szCs w:val="24"/>
        </w:rPr>
        <w:t>nex 2 to this Schedule; and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w:t>
      </w:r>
      <w:r>
        <w:rPr>
          <w:rFonts w:ascii="Arial" w:eastAsia="Arial" w:hAnsi="Arial"/>
          <w:color w:val="000000"/>
          <w:sz w:val="24"/>
          <w:szCs w:val="24"/>
        </w:rPr>
        <w:t xml:space="preserve"> its auditors promptly notify) the Relevant Authority in writing if there is any downgrade in the credit rating issued by any Rating Agency for any entity in the FDE Group (and in any event within 5 Working Days of the occurrence of the downgrade).</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w:t>
      </w:r>
      <w:r>
        <w:rPr>
          <w:rFonts w:ascii="Arial" w:eastAsia="Arial" w:hAnsi="Arial"/>
          <w:color w:val="000000"/>
          <w:sz w:val="24"/>
          <w:szCs w:val="24"/>
        </w:rPr>
        <w:t>plier shall:</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w:t>
      </w:r>
      <w:r>
        <w:rPr>
          <w:rFonts w:ascii="Arial" w:eastAsia="Arial" w:hAnsi="Arial"/>
          <w:color w:val="000000"/>
          <w:sz w:val="24"/>
          <w:szCs w:val="24"/>
        </w:rPr>
        <w:t xml:space="preserve">t out for each at Paragraph 5.1 (where </w:t>
      </w:r>
      <w:r>
        <w:rPr>
          <w:rFonts w:ascii="Arial" w:eastAsia="Arial" w:hAnsi="Arial"/>
          <w:color w:val="000000"/>
          <w:sz w:val="24"/>
          <w:szCs w:val="24"/>
        </w:rPr>
        <w:lastRenderedPageBreak/>
        <w:t>specified) and in any event, on a regular basis and no less than once a year within ninety (90) days after the Accounting Reference Date; and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w:t>
      </w:r>
      <w:r>
        <w:rPr>
          <w:rFonts w:ascii="Arial" w:eastAsia="Arial" w:hAnsi="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For the purposes of dete</w:t>
      </w:r>
      <w:r>
        <w:rPr>
          <w:rFonts w:ascii="Arial" w:eastAsia="Arial" w:hAnsi="Arial"/>
          <w:color w:val="000000"/>
          <w:sz w:val="24"/>
          <w:szCs w:val="24"/>
        </w:rPr>
        <w:t>rmining whether a Financial Distress Event has occurred pursuant to the provisions of Paragraphs 3.1, and for the purposes of determining relief under Paragraph 7.1, the credit rating of an FDE Group entity shall be deemed to have dropped below the applica</w:t>
      </w:r>
      <w:r>
        <w:rPr>
          <w:rFonts w:ascii="Arial" w:eastAsia="Arial" w:hAnsi="Arial"/>
          <w:color w:val="000000"/>
          <w:sz w:val="24"/>
          <w:szCs w:val="24"/>
        </w:rPr>
        <w:t>ble Credit Rating Threshold if any of the Rating Agencies have rated that entity at or below the applicable Credit Rating Threshold.</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w:t>
      </w:r>
      <w:r>
        <w:rPr>
          <w:rFonts w:ascii="Arial" w:eastAsia="Arial" w:hAnsi="Arial"/>
          <w:color w:val="000000"/>
          <w:sz w:val="24"/>
          <w:szCs w:val="24"/>
        </w:rPr>
        <w:t xml:space="preserve"> of the FDE Group entities;</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w:t>
      </w:r>
      <w:r>
        <w:rPr>
          <w:rFonts w:ascii="Arial" w:eastAsia="Arial" w:hAnsi="Arial"/>
          <w:color w:val="000000"/>
          <w:sz w:val="24"/>
          <w:szCs w:val="24"/>
        </w:rPr>
        <w:t>any accounts data that has been relied on) as separate annexes;</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w:t>
      </w:r>
      <w:r>
        <w:rPr>
          <w:rFonts w:ascii="Arial" w:eastAsia="Arial" w:hAnsi="Arial"/>
          <w:color w:val="000000"/>
          <w:sz w:val="24"/>
          <w:szCs w:val="24"/>
        </w:rPr>
        <w:t>ence date, on unaudited management accounts prepared in accordance with their normal timetable; and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w:t>
      </w:r>
      <w:r>
        <w:rPr>
          <w:rFonts w:ascii="Arial" w:eastAsia="Arial" w:hAnsi="Arial"/>
          <w:color w:val="000000"/>
          <w:sz w:val="24"/>
          <w:szCs w:val="24"/>
        </w:rPr>
        <w:t>s in financial performance.</w:t>
      </w:r>
    </w:p>
    <w:p w:rsidR="00524293" w:rsidRDefault="002849C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there being a public investigation into improper financial accoun</w:t>
      </w:r>
      <w:r>
        <w:rPr>
          <w:rFonts w:ascii="Arial" w:eastAsia="Arial" w:hAnsi="Arial"/>
          <w:color w:val="000000"/>
          <w:sz w:val="24"/>
          <w:szCs w:val="24"/>
        </w:rPr>
        <w:t>ting and reporting, suspected fraud or any other impropriety of an FDE Group entity;</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w:t>
      </w:r>
      <w:r>
        <w:rPr>
          <w:rFonts w:ascii="Arial" w:eastAsia="Arial" w:hAnsi="Arial"/>
          <w:color w:val="000000"/>
          <w:sz w:val="24"/>
          <w:szCs w:val="24"/>
        </w:rPr>
        <w:t>al sums properly due under a specified invoice and not subject to a genuine dispute;</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524293" w:rsidRDefault="002849CE">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524293" w:rsidRDefault="002849CE">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w:t>
      </w:r>
      <w:r>
        <w:rPr>
          <w:rFonts w:ascii="Arial" w:eastAsia="Arial" w:hAnsi="Arial"/>
          <w:color w:val="000000"/>
          <w:sz w:val="24"/>
          <w:szCs w:val="24"/>
        </w:rPr>
        <w:t>debtedness;</w:t>
      </w:r>
    </w:p>
    <w:p w:rsidR="00524293" w:rsidRDefault="002849CE">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524293" w:rsidRDefault="002849CE">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524293" w:rsidRDefault="002849CE">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w:t>
      </w:r>
      <w:r>
        <w:rPr>
          <w:rFonts w:ascii="Arial" w:eastAsia="Arial" w:hAnsi="Arial"/>
          <w:color w:val="000000"/>
          <w:sz w:val="24"/>
          <w:szCs w:val="24"/>
        </w:rPr>
        <w:t>pressing a qualified opinion on, or including an emphasis of matter in, its opinion on the statutory accounts of that FDE entity;</w:t>
      </w:r>
    </w:p>
    <w:p w:rsidR="00524293" w:rsidRDefault="002849CE">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w:t>
      </w:r>
      <w:r>
        <w:rPr>
          <w:rFonts w:ascii="Arial" w:eastAsia="Arial" w:hAnsi="Arial"/>
          <w:color w:val="000000"/>
          <w:sz w:val="24"/>
          <w:szCs w:val="24"/>
        </w:rPr>
        <w:t xml:space="preserve"> on the continued performance and delivery of the Deliverables in accordance with the Contract; and</w:t>
      </w:r>
    </w:p>
    <w:p w:rsidR="00524293" w:rsidRDefault="002849CE">
      <w:pPr>
        <w:numPr>
          <w:ilvl w:val="2"/>
          <w:numId w:val="2"/>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524293" w:rsidRDefault="002849C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olor w:val="000000"/>
          <w:sz w:val="24"/>
          <w:szCs w:val="24"/>
        </w:rPr>
        <w:t>e Supplier), the Supplier shall have the obligations and the Relevant Authority shall have the rights and remedies as set out in Paragraphs 4.3 to 4.6.</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the event of a late or non-payment of a Key Sub-contractor pursuant to Paragraph 3.1.5, the Relevant </w:t>
      </w:r>
      <w:r>
        <w:rPr>
          <w:rFonts w:ascii="Arial" w:eastAsia="Arial" w:hAnsi="Arial"/>
          <w:color w:val="000000"/>
          <w:sz w:val="24"/>
          <w:szCs w:val="24"/>
        </w:rPr>
        <w:t>Authority shall not exercise any of its rights or remedies under Paragraph 4.3 without first giving the Supplier 10 Working Days to:</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demonstrate to the Relevant Authority’s reasonable satisfaction that there is a valid </w:t>
      </w:r>
      <w:r>
        <w:rPr>
          <w:rFonts w:ascii="Arial" w:eastAsia="Arial" w:hAnsi="Arial"/>
          <w:color w:val="000000"/>
          <w:sz w:val="24"/>
          <w:szCs w:val="24"/>
        </w:rPr>
        <w:t>reason for late or non-payment.</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The Supplier shall (and shall procure that any Monitored Supplier, the Guarantor and/or any relevant Key Sub-contractor shall):</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at the request of the Relevant Authority, meet the Relevant Authority as soon as reasonably practicable (and in any event within 3 Working Days of the initial notification (or awareness) of the Financial Distress Event or such other period as the Relevant </w:t>
      </w:r>
      <w:r>
        <w:rPr>
          <w:rFonts w:ascii="Arial" w:eastAsia="Arial" w:hAnsi="Arial"/>
          <w:color w:val="000000"/>
          <w:sz w:val="24"/>
          <w:szCs w:val="24"/>
        </w:rPr>
        <w:t>Authority may permit and notify to the Supplier in writing) to review the effect of the Financial Distress Event on the continued performance and delivery of the Services in accordance with the Contract; and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w:t>
      </w:r>
      <w:r>
        <w:rPr>
          <w:rFonts w:ascii="Arial" w:eastAsia="Arial" w:hAnsi="Arial"/>
          <w:color w:val="000000"/>
          <w:sz w:val="24"/>
          <w:szCs w:val="24"/>
        </w:rPr>
        <w:t xml:space="preserve">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and delivery of the Deliverables in accordance with the Contract:</w:t>
      </w:r>
    </w:p>
    <w:p w:rsidR="00524293" w:rsidRDefault="002849CE">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olor w:val="000000"/>
          <w:sz w:val="24"/>
          <w:szCs w:val="24"/>
        </w:rPr>
        <w:t>her period as the Relevant Authority may permit and notify to the Supplier in writing); and</w:t>
      </w:r>
    </w:p>
    <w:p w:rsidR="00524293" w:rsidRDefault="002849CE">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w:t>
      </w:r>
      <w:r>
        <w:rPr>
          <w:rFonts w:ascii="Arial" w:eastAsia="Arial" w:hAnsi="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olor w:val="000000"/>
          <w:sz w:val="24"/>
          <w:szCs w:val="24"/>
        </w:rPr>
        <w:t>te the impact of the Financial Distress Event.</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w:t>
      </w:r>
      <w:r>
        <w:rPr>
          <w:rFonts w:ascii="Arial" w:eastAsia="Arial" w:hAnsi="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olor w:val="000000"/>
          <w:sz w:val="24"/>
          <w:szCs w:val="24"/>
        </w:rPr>
        <w:t xml:space="preserve">th the Contract, then it may either agree a further time period for the development and agreement of the Financial Distress Remediation Plan or escalate any issues with the draft Financial Distress </w:t>
      </w:r>
      <w:r>
        <w:rPr>
          <w:rFonts w:ascii="Arial" w:eastAsia="Arial" w:hAnsi="Arial"/>
          <w:color w:val="000000"/>
          <w:sz w:val="24"/>
          <w:szCs w:val="24"/>
        </w:rPr>
        <w:lastRenderedPageBreak/>
        <w:t>Remediation Plan using the Dispute Resolution Procedure in</w:t>
      </w:r>
      <w:r>
        <w:rPr>
          <w:rFonts w:ascii="Arial" w:eastAsia="Arial" w:hAnsi="Arial"/>
          <w:color w:val="000000"/>
          <w:sz w:val="24"/>
          <w:szCs w:val="24"/>
        </w:rPr>
        <w:t xml:space="preserve"> Clause 34 of the Core Terms.</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524293" w:rsidRDefault="002849CE">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w:t>
      </w:r>
      <w:r>
        <w:rPr>
          <w:rFonts w:ascii="Arial" w:eastAsia="Arial" w:hAnsi="Arial"/>
          <w:color w:val="000000"/>
          <w:sz w:val="24"/>
          <w:szCs w:val="24"/>
        </w:rPr>
        <w:t>Remediation Plan as the Supplier may deem reasonably necessary and/or as may be reasonably requested by the Relevant Authority, so that the plan remains adequate, up to date and ensures the continued performance and delivery of the Deliverables in accordan</w:t>
      </w:r>
      <w:r>
        <w:rPr>
          <w:rFonts w:ascii="Arial" w:eastAsia="Arial" w:hAnsi="Arial"/>
          <w:color w:val="000000"/>
          <w:sz w:val="24"/>
          <w:szCs w:val="24"/>
        </w:rPr>
        <w:t>ce with this Contract; and</w:t>
      </w:r>
    </w:p>
    <w:p w:rsidR="00524293" w:rsidRDefault="002849CE">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olor w:val="000000"/>
          <w:sz w:val="24"/>
          <w:szCs w:val="24"/>
        </w:rPr>
        <w:t xml:space="preserve"> have decided not to make any changes;</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w:t>
      </w:r>
      <w:r>
        <w:rPr>
          <w:rFonts w:ascii="Arial" w:eastAsia="Arial" w:hAnsi="Arial"/>
          <w:color w:val="000000"/>
          <w:sz w:val="24"/>
          <w:szCs w:val="24"/>
        </w:rPr>
        <w:t>s of Paragraphs 4.4 and 4.5 shall apply to the review and approval process for the updated Financial Distress Remediation Plan; and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w:t>
      </w:r>
      <w:r>
        <w:rPr>
          <w:rFonts w:ascii="Arial" w:eastAsia="Arial" w:hAnsi="Arial"/>
          <w:color w:val="000000"/>
          <w:sz w:val="24"/>
          <w:szCs w:val="24"/>
        </w:rPr>
        <w:t>hat it achieves the financial and performance requirements set out in the Financial Distress Remediation Plan.</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w:t>
      </w:r>
      <w:r>
        <w:rPr>
          <w:rFonts w:ascii="Arial" w:eastAsia="Arial" w:hAnsi="Arial"/>
          <w:color w:val="000000"/>
          <w:sz w:val="24"/>
          <w:szCs w:val="24"/>
        </w:rPr>
        <w:t>used or otherwise led to it) no longer exists, it shall notify the Relevant Authority and the Parties may agree that the Supplier shall be relieved of its obligations under Paragraph 4.6.</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w:t>
      </w:r>
      <w:r>
        <w:rPr>
          <w:rFonts w:ascii="Arial" w:eastAsia="Arial" w:hAnsi="Arial"/>
          <w:color w:val="000000"/>
          <w:sz w:val="24"/>
          <w:szCs w:val="24"/>
        </w:rPr>
        <w:t>essary measures to ensure that the information specified at paragraph 4.3.2(b) is available when required and on request from the Relevant Authority and within reasonable timescales. Such measures may include:</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w:t>
      </w:r>
      <w:r>
        <w:rPr>
          <w:rFonts w:ascii="Arial" w:eastAsia="Arial" w:hAnsi="Arial"/>
          <w:color w:val="000000"/>
          <w:sz w:val="24"/>
          <w:szCs w:val="24"/>
        </w:rPr>
        <w:t>y Sub-contractors, the Guarantor and/or Monitored Suppliers authorising the disclosure of the information to the Buyer and/or entering into confidentiality agreements which permit disclosure;</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w:t>
      </w:r>
      <w:r>
        <w:rPr>
          <w:rFonts w:ascii="Arial" w:eastAsia="Arial" w:hAnsi="Arial"/>
          <w:color w:val="000000"/>
          <w:sz w:val="24"/>
          <w:szCs w:val="24"/>
        </w:rPr>
        <w:t xml:space="preserve">tors, the Guarantor and/or Monitored Suppliers a form of confidentiality agreement to be entered by the relevant </w:t>
      </w:r>
      <w:r>
        <w:rPr>
          <w:rFonts w:ascii="Arial" w:eastAsia="Arial" w:hAnsi="Arial"/>
          <w:color w:val="000000"/>
          <w:sz w:val="24"/>
          <w:szCs w:val="24"/>
        </w:rPr>
        <w:lastRenderedPageBreak/>
        <w:t>parties to enable the disclosure of the information to the Relevant Authority;</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olor w:val="000000"/>
          <w:sz w:val="24"/>
          <w:szCs w:val="24"/>
        </w:rPr>
        <w:t>tial arrangements, subject to their consent); and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w:t>
      </w:r>
      <w:r>
        <w:rPr>
          <w:rFonts w:ascii="Arial" w:eastAsia="Arial" w:hAnsi="Arial"/>
          <w:color w:val="000000"/>
          <w:sz w:val="24"/>
          <w:szCs w:val="24"/>
        </w:rPr>
        <w:t xml:space="preserve"> without breaching a duty of confidentiality.</w:t>
      </w:r>
    </w:p>
    <w:p w:rsidR="00524293" w:rsidRDefault="002849C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w:t>
      </w:r>
      <w:r>
        <w:rPr>
          <w:rFonts w:ascii="Arial" w:eastAsia="Arial" w:hAnsi="Arial"/>
          <w:color w:val="000000"/>
          <w:sz w:val="24"/>
          <w:szCs w:val="24"/>
        </w:rPr>
        <w:t xml:space="preserve">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524293">
        <w:tc>
          <w:tcPr>
            <w:tcW w:w="2253" w:type="dxa"/>
            <w:shd w:val="clear" w:color="auto" w:fill="D9D9D9"/>
            <w:vAlign w:val="center"/>
          </w:tcPr>
          <w:p w:rsidR="00524293" w:rsidRDefault="002849CE">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rsidR="00524293" w:rsidRDefault="002849CE">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rsidR="00524293" w:rsidRDefault="002849CE">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rsidR="00524293" w:rsidRDefault="002849CE">
            <w:pPr>
              <w:pBdr>
                <w:top w:val="nil"/>
                <w:left w:val="nil"/>
                <w:bottom w:val="nil"/>
                <w:right w:val="nil"/>
                <w:between w:val="nil"/>
              </w:pBdr>
              <w:spacing w:before="100" w:after="200"/>
              <w:jc w:val="center"/>
              <w:rPr>
                <w:rFonts w:ascii="Arial" w:eastAsia="Arial" w:hAnsi="Arial"/>
                <w:b/>
                <w:color w:val="000000"/>
                <w:sz w:val="24"/>
                <w:szCs w:val="24"/>
              </w:rPr>
            </w:pPr>
            <w:bookmarkStart w:id="2" w:name="_heading=h.1ci93xb" w:colFirst="0" w:colLast="0"/>
            <w:bookmarkEnd w:id="2"/>
            <w:r>
              <w:rPr>
                <w:rFonts w:ascii="Arial" w:eastAsia="Arial" w:hAnsi="Arial"/>
                <w:b/>
                <w:color w:val="000000"/>
                <w:sz w:val="24"/>
                <w:szCs w:val="24"/>
              </w:rPr>
              <w:t xml:space="preserve">Monitoring and </w:t>
            </w:r>
            <w:r>
              <w:rPr>
                <w:rFonts w:ascii="Arial" w:eastAsia="Arial" w:hAnsi="Arial"/>
                <w:b/>
                <w:color w:val="000000"/>
                <w:sz w:val="24"/>
                <w:szCs w:val="24"/>
              </w:rPr>
              <w:t xml:space="preserve">Reporting Frequency </w:t>
            </w:r>
            <w:r>
              <w:rPr>
                <w:rFonts w:ascii="Arial" w:eastAsia="Arial" w:hAnsi="Arial"/>
                <w:b/>
                <w:color w:val="000000"/>
                <w:sz w:val="24"/>
                <w:szCs w:val="24"/>
              </w:rPr>
              <w:t>[if different from the default position set out in Paragraph 2.3.2)]</w:t>
            </w:r>
          </w:p>
        </w:tc>
      </w:tr>
      <w:tr w:rsidR="00524293">
        <w:tc>
          <w:tcPr>
            <w:tcW w:w="2253"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rsidR="00524293" w:rsidRDefault="00524293">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&gt; </w:t>
            </w:r>
            <w:r>
              <w:rPr>
                <w:rFonts w:ascii="Arial" w:eastAsia="Arial" w:hAnsi="Arial"/>
                <w:i/>
                <w:sz w:val="24"/>
                <w:szCs w:val="24"/>
              </w:rPr>
              <w:t>3</w:t>
            </w:r>
            <w:r>
              <w:rPr>
                <w:rFonts w:ascii="Arial" w:eastAsia="Arial" w:hAnsi="Arial"/>
                <w:i/>
                <w:color w:val="000000"/>
                <w:sz w:val="24"/>
                <w:szCs w:val="24"/>
              </w:rPr>
              <w:t>%</w:t>
            </w:r>
          </w:p>
        </w:tc>
        <w:tc>
          <w:tcPr>
            <w:tcW w:w="3089"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w:t>
            </w:r>
            <w:r>
              <w:rPr>
                <w:rFonts w:ascii="Arial" w:eastAsia="Arial" w:hAnsi="Arial"/>
                <w:i/>
                <w:color w:val="000000"/>
                <w:sz w:val="24"/>
                <w:szCs w:val="24"/>
              </w:rPr>
              <w:t xml:space="preserve"> based upon figures for the 12 months ending on the relevant accounting reference date</w:t>
            </w:r>
          </w:p>
        </w:tc>
      </w:tr>
      <w:tr w:rsidR="00524293">
        <w:tc>
          <w:tcPr>
            <w:tcW w:w="2253"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1977" w:type="dxa"/>
            <w:vAlign w:val="center"/>
          </w:tcPr>
          <w:p w:rsidR="00524293" w:rsidRDefault="00524293">
            <w:pPr>
              <w:pBdr>
                <w:top w:val="nil"/>
                <w:left w:val="nil"/>
                <w:bottom w:val="nil"/>
                <w:right w:val="nil"/>
                <w:between w:val="nil"/>
              </w:pBdr>
              <w:spacing w:before="100" w:after="200"/>
              <w:jc w:val="left"/>
              <w:rPr>
                <w:rFonts w:ascii="Arial" w:eastAsia="Arial" w:hAnsi="Arial"/>
                <w:i/>
                <w:color w:val="7030A0"/>
                <w:sz w:val="24"/>
                <w:szCs w:val="24"/>
              </w:rPr>
            </w:pPr>
          </w:p>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to EBITDA ratio = Net Debt / EBITDA</w:t>
            </w:r>
          </w:p>
        </w:tc>
        <w:tc>
          <w:tcPr>
            <w:tcW w:w="1697" w:type="dxa"/>
            <w:vAlign w:val="center"/>
          </w:tcPr>
          <w:p w:rsidR="00524293" w:rsidRDefault="00524293">
            <w:pPr>
              <w:pBdr>
                <w:top w:val="nil"/>
                <w:left w:val="nil"/>
                <w:bottom w:val="nil"/>
                <w:right w:val="nil"/>
                <w:between w:val="nil"/>
              </w:pBdr>
              <w:spacing w:before="100" w:after="200"/>
              <w:jc w:val="left"/>
              <w:rPr>
                <w:rFonts w:ascii="Arial" w:eastAsia="Arial" w:hAnsi="Arial"/>
                <w:i/>
                <w:color w:val="000000"/>
                <w:sz w:val="24"/>
                <w:szCs w:val="24"/>
              </w:rPr>
            </w:pPr>
          </w:p>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&lt; </w:t>
            </w:r>
            <w:r>
              <w:rPr>
                <w:rFonts w:ascii="Arial" w:eastAsia="Arial" w:hAnsi="Arial"/>
                <w:i/>
                <w:sz w:val="24"/>
                <w:szCs w:val="24"/>
              </w:rPr>
              <w:t>3.5</w:t>
            </w:r>
            <w:r>
              <w:rPr>
                <w:rFonts w:ascii="Arial" w:eastAsia="Arial" w:hAnsi="Arial"/>
                <w:i/>
                <w:color w:val="000000"/>
                <w:sz w:val="24"/>
                <w:szCs w:val="24"/>
              </w:rPr>
              <w:t xml:space="preserve"> times</w:t>
            </w:r>
          </w:p>
        </w:tc>
        <w:tc>
          <w:tcPr>
            <w:tcW w:w="3089"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7030A0"/>
                <w:sz w:val="24"/>
                <w:szCs w:val="24"/>
              </w:rPr>
              <w:t xml:space="preserve"> </w:t>
            </w:r>
            <w:r>
              <w:rPr>
                <w:rFonts w:ascii="Arial" w:eastAsia="Arial" w:hAnsi="Arial"/>
                <w:i/>
                <w:color w:val="000000"/>
                <w:sz w:val="24"/>
                <w:szCs w:val="24"/>
              </w:rPr>
              <w:t xml:space="preserve">in arrears within 90 days of each </w:t>
            </w:r>
            <w:r>
              <w:rPr>
                <w:rFonts w:ascii="Arial" w:eastAsia="Arial" w:hAnsi="Arial"/>
                <w:i/>
                <w:color w:val="000000"/>
                <w:sz w:val="24"/>
                <w:szCs w:val="24"/>
              </w:rPr>
              <w:t>accounting reference date based upon</w:t>
            </w:r>
            <w:r>
              <w:rPr>
                <w:rFonts w:ascii="Arial" w:eastAsia="Arial" w:hAnsi="Arial"/>
                <w:i/>
                <w:sz w:val="24"/>
                <w:szCs w:val="24"/>
              </w:rPr>
              <w:t xml:space="preserve"> </w:t>
            </w:r>
            <w:r>
              <w:rPr>
                <w:rFonts w:ascii="Arial" w:eastAsia="Arial" w:hAnsi="Arial"/>
                <w:i/>
                <w:color w:val="000000"/>
                <w:sz w:val="24"/>
                <w:szCs w:val="24"/>
              </w:rPr>
              <w:t>Net Debt at, the relevant accounting reference date</w:t>
            </w:r>
          </w:p>
        </w:tc>
      </w:tr>
      <w:tr w:rsidR="00524293">
        <w:tc>
          <w:tcPr>
            <w:tcW w:w="2253"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&lt; </w:t>
            </w:r>
            <w:r>
              <w:rPr>
                <w:rFonts w:ascii="Arial" w:eastAsia="Arial" w:hAnsi="Arial"/>
                <w:i/>
                <w:sz w:val="24"/>
                <w:szCs w:val="24"/>
              </w:rPr>
              <w:t>5</w:t>
            </w:r>
            <w:r>
              <w:rPr>
                <w:rFonts w:ascii="Arial" w:eastAsia="Arial" w:hAnsi="Arial"/>
                <w:i/>
                <w:color w:val="000000"/>
                <w:sz w:val="24"/>
                <w:szCs w:val="24"/>
              </w:rPr>
              <w:t xml:space="preserve"> times</w:t>
            </w:r>
          </w:p>
        </w:tc>
        <w:tc>
          <w:tcPr>
            <w:tcW w:w="3089"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sz w:val="24"/>
                <w:szCs w:val="24"/>
              </w:rPr>
              <w:t>90</w:t>
            </w:r>
            <w:r>
              <w:rPr>
                <w:rFonts w:ascii="Arial" w:eastAsia="Arial" w:hAnsi="Arial"/>
                <w:i/>
                <w:color w:val="F79646"/>
                <w:sz w:val="24"/>
                <w:szCs w:val="24"/>
              </w:rPr>
              <w:t xml:space="preserve"> </w:t>
            </w:r>
            <w:r>
              <w:rPr>
                <w:rFonts w:ascii="Arial" w:eastAsia="Arial" w:hAnsi="Arial"/>
                <w:i/>
                <w:color w:val="000000"/>
                <w:sz w:val="24"/>
                <w:szCs w:val="24"/>
              </w:rPr>
              <w:t xml:space="preserve">days of each accounting reference date based upon EBITDA for the 12 months ending on, and the Net Debt and Net Pension Deficit at, the </w:t>
            </w:r>
            <w:r>
              <w:rPr>
                <w:rFonts w:ascii="Arial" w:eastAsia="Arial" w:hAnsi="Arial"/>
                <w:i/>
                <w:color w:val="000000"/>
                <w:sz w:val="24"/>
                <w:szCs w:val="24"/>
              </w:rPr>
              <w:lastRenderedPageBreak/>
              <w:t>relevant accounting reference date</w:t>
            </w:r>
          </w:p>
        </w:tc>
      </w:tr>
      <w:tr w:rsidR="00524293">
        <w:tc>
          <w:tcPr>
            <w:tcW w:w="2253"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&gt; </w:t>
            </w:r>
            <w:r>
              <w:rPr>
                <w:rFonts w:ascii="Arial" w:eastAsia="Arial" w:hAnsi="Arial"/>
                <w:i/>
                <w:sz w:val="24"/>
                <w:szCs w:val="24"/>
              </w:rPr>
              <w:t>3</w:t>
            </w:r>
            <w:r>
              <w:rPr>
                <w:rFonts w:ascii="Arial" w:eastAsia="Arial" w:hAnsi="Arial"/>
                <w:i/>
                <w:color w:val="000000"/>
                <w:sz w:val="24"/>
                <w:szCs w:val="24"/>
              </w:rPr>
              <w:t xml:space="preserve"> times</w:t>
            </w:r>
          </w:p>
        </w:tc>
        <w:tc>
          <w:tcPr>
            <w:tcW w:w="3089"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8064A2"/>
                <w:sz w:val="24"/>
                <w:szCs w:val="24"/>
              </w:rPr>
              <w:t xml:space="preserve"> </w:t>
            </w:r>
            <w:r>
              <w:rPr>
                <w:rFonts w:ascii="Arial" w:eastAsia="Arial" w:hAnsi="Arial"/>
                <w:i/>
                <w:color w:val="000000"/>
                <w:sz w:val="24"/>
                <w:szCs w:val="24"/>
              </w:rPr>
              <w:t xml:space="preserve">in arrears within 90 days of each accounting reference date based upon figures for the 12 months ending on the relevant </w:t>
            </w:r>
            <w:r>
              <w:rPr>
                <w:rFonts w:ascii="Arial" w:eastAsia="Arial" w:hAnsi="Arial"/>
                <w:i/>
                <w:color w:val="000000"/>
                <w:sz w:val="24"/>
                <w:szCs w:val="24"/>
              </w:rPr>
              <w:t>accounting reference date</w:t>
            </w:r>
          </w:p>
        </w:tc>
      </w:tr>
      <w:tr w:rsidR="00524293">
        <w:tc>
          <w:tcPr>
            <w:tcW w:w="2253" w:type="dxa"/>
            <w:vAlign w:val="center"/>
          </w:tcPr>
          <w:p w:rsidR="00524293" w:rsidRDefault="002849CE">
            <w:pPr>
              <w:pBdr>
                <w:top w:val="nil"/>
                <w:left w:val="nil"/>
                <w:bottom w:val="nil"/>
                <w:right w:val="nil"/>
                <w:between w:val="nil"/>
              </w:pBdr>
              <w:spacing w:before="100" w:after="200"/>
              <w:jc w:val="left"/>
              <w:rPr>
                <w:rFonts w:ascii="Arial" w:eastAsia="Arial" w:hAnsi="Arial"/>
                <w:b/>
                <w:sz w:val="24"/>
                <w:szCs w:val="24"/>
              </w:rPr>
            </w:pPr>
            <w:r>
              <w:rPr>
                <w:rFonts w:ascii="Arial" w:eastAsia="Arial" w:hAnsi="Arial"/>
                <w:b/>
                <w:color w:val="000000"/>
                <w:sz w:val="24"/>
                <w:szCs w:val="24"/>
              </w:rPr>
              <w:t>5</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&gt; </w:t>
            </w:r>
            <w:r>
              <w:rPr>
                <w:rFonts w:ascii="Arial" w:eastAsia="Arial" w:hAnsi="Arial"/>
                <w:i/>
                <w:sz w:val="24"/>
                <w:szCs w:val="24"/>
              </w:rPr>
              <w:t>1</w:t>
            </w:r>
            <w:r>
              <w:rPr>
                <w:rFonts w:ascii="Arial" w:eastAsia="Arial" w:hAnsi="Arial"/>
                <w:i/>
                <w:color w:val="000000"/>
                <w:sz w:val="24"/>
                <w:szCs w:val="24"/>
              </w:rPr>
              <w:t xml:space="preserve"> </w:t>
            </w:r>
            <w:proofErr w:type="gramStart"/>
            <w:r>
              <w:rPr>
                <w:rFonts w:ascii="Arial" w:eastAsia="Arial" w:hAnsi="Arial"/>
                <w:i/>
                <w:color w:val="000000"/>
                <w:sz w:val="24"/>
                <w:szCs w:val="24"/>
              </w:rPr>
              <w:t>times</w:t>
            </w:r>
            <w:proofErr w:type="gramEnd"/>
          </w:p>
        </w:tc>
        <w:tc>
          <w:tcPr>
            <w:tcW w:w="3089"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90 days of each accounting reference date based upon figures at the relevant </w:t>
            </w:r>
            <w:r>
              <w:rPr>
                <w:rFonts w:ascii="Arial" w:eastAsia="Arial" w:hAnsi="Arial"/>
                <w:i/>
                <w:color w:val="000000"/>
                <w:sz w:val="24"/>
                <w:szCs w:val="24"/>
              </w:rPr>
              <w:t>accounting reference date</w:t>
            </w:r>
          </w:p>
        </w:tc>
      </w:tr>
      <w:tr w:rsidR="00524293">
        <w:tc>
          <w:tcPr>
            <w:tcW w:w="2253"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£0</w:t>
            </w:r>
          </w:p>
        </w:tc>
        <w:tc>
          <w:tcPr>
            <w:tcW w:w="3089"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r w:rsidR="00524293">
        <w:tc>
          <w:tcPr>
            <w:tcW w:w="2253"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&lt;</w:t>
            </w:r>
            <w:r w:rsidR="00EF787E">
              <w:rPr>
                <w:rFonts w:ascii="Arial" w:eastAsia="Arial" w:hAnsi="Arial"/>
                <w:i/>
                <w:color w:val="000000"/>
                <w:sz w:val="24"/>
                <w:szCs w:val="24"/>
              </w:rPr>
              <w:t xml:space="preserve"> </w:t>
            </w:r>
            <w:r>
              <w:rPr>
                <w:rFonts w:ascii="Arial" w:eastAsia="Arial" w:hAnsi="Arial"/>
                <w:i/>
                <w:sz w:val="24"/>
                <w:szCs w:val="24"/>
              </w:rPr>
              <w:t>50</w:t>
            </w:r>
            <w:r>
              <w:rPr>
                <w:rFonts w:ascii="Arial" w:eastAsia="Arial" w:hAnsi="Arial"/>
                <w:i/>
                <w:color w:val="000000"/>
                <w:sz w:val="24"/>
                <w:szCs w:val="24"/>
              </w:rPr>
              <w:t>%</w:t>
            </w:r>
          </w:p>
        </w:tc>
        <w:tc>
          <w:tcPr>
            <w:tcW w:w="3089" w:type="dxa"/>
            <w:vAlign w:val="center"/>
          </w:tcPr>
          <w:p w:rsidR="00524293" w:rsidRDefault="002849CE">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rsidR="00524293" w:rsidRDefault="002849CE">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p>
    <w:p w:rsidR="00524293" w:rsidRDefault="00524293">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524293">
        <w:tc>
          <w:tcPr>
            <w:tcW w:w="4073" w:type="dxa"/>
            <w:shd w:val="clear" w:color="auto" w:fill="D9D9D9"/>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bookmarkStart w:id="3" w:name="_heading=h.3whwml4" w:colFirst="0" w:colLast="0"/>
            <w:bookmarkEnd w:id="3"/>
            <w:r>
              <w:rPr>
                <w:rFonts w:ascii="Arial" w:eastAsia="Arial" w:hAnsi="Arial"/>
                <w:color w:val="000000"/>
                <w:sz w:val="24"/>
                <w:szCs w:val="24"/>
              </w:rPr>
              <w:t>(these are the Financial Indicators from the table in Paragraph 5.1 which are to apply to the Monitored Suppliers)</w:t>
            </w:r>
          </w:p>
        </w:tc>
      </w:tr>
      <w:tr w:rsidR="00524293">
        <w:tc>
          <w:tcPr>
            <w:tcW w:w="4073" w:type="dxa"/>
          </w:tcPr>
          <w:p w:rsidR="00524293" w:rsidRDefault="00EF787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N/A</w:t>
            </w:r>
          </w:p>
        </w:tc>
        <w:tc>
          <w:tcPr>
            <w:tcW w:w="4223" w:type="dxa"/>
          </w:tcPr>
          <w:p w:rsidR="00524293" w:rsidRDefault="00EF787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N/A</w:t>
            </w:r>
          </w:p>
        </w:tc>
      </w:tr>
    </w:tbl>
    <w:p w:rsidR="00524293" w:rsidRDefault="00524293">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524293" w:rsidRDefault="002849C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Termination rights</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w:t>
      </w:r>
      <w:r>
        <w:rPr>
          <w:rFonts w:ascii="Arial" w:eastAsia="Arial" w:hAnsi="Arial"/>
          <w:color w:val="000000"/>
          <w:sz w:val="24"/>
          <w:szCs w:val="24"/>
        </w:rPr>
        <w:t>ragraphs 4.3 to 4.5; and/or</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rsidR="00524293" w:rsidRDefault="002849CE">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rsidR="00524293" w:rsidRDefault="002849C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w:t>
      </w:r>
      <w:r>
        <w:rPr>
          <w:rFonts w:ascii="Arial" w:eastAsia="Arial" w:hAnsi="Arial"/>
          <w:color w:val="000000"/>
          <w:sz w:val="24"/>
          <w:szCs w:val="24"/>
        </w:rPr>
        <w:t>ity’s rights and remedies under Paragraph 2, if, following the occurrence of a Financial Distress Event pursuant to any of Paragraphs 3.1.2 to 3.1.7, the Rating Agencies review and report subsequently that the credit ratings for the FDE Group entities do n</w:t>
      </w:r>
      <w:r>
        <w:rPr>
          <w:rFonts w:ascii="Arial" w:eastAsia="Arial" w:hAnsi="Arial"/>
          <w:color w:val="000000"/>
          <w:sz w:val="24"/>
          <w:szCs w:val="24"/>
        </w:rPr>
        <w:t>ot drop below the relevant Credit Rating Thresholds specified for those entities in Annex 2 to this Schedule, then:</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524293" w:rsidRDefault="002849C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sidRPr="00EF787E">
        <w:rPr>
          <w:rFonts w:ascii="Arial" w:eastAsia="Arial" w:hAnsi="Arial"/>
          <w:color w:val="000000"/>
          <w:sz w:val="24"/>
          <w:szCs w:val="24"/>
        </w:rPr>
        <w:t>If the Contract has been specified as a Critical Service Contract under Paragraph 1.1 of Call-Of</w:t>
      </w:r>
      <w:r w:rsidRPr="00EF787E">
        <w:rPr>
          <w:rFonts w:ascii="Arial" w:eastAsia="Arial" w:hAnsi="Arial"/>
          <w:color w:val="000000"/>
          <w:sz w:val="24"/>
          <w:szCs w:val="24"/>
        </w:rPr>
        <w:t>f Schedule 24 (Corporate Resolution Planning)</w:t>
      </w:r>
      <w:r>
        <w:rPr>
          <w:rFonts w:ascii="Arial" w:eastAsia="Arial" w:hAnsi="Arial"/>
          <w:color w:val="000000"/>
          <w:sz w:val="24"/>
          <w:szCs w:val="24"/>
        </w:rPr>
        <w:t xml:space="preserve"> (if applicable) then, subject to Paragraph 8.4 of this Schedule, the Supplier shall within ninety (90) days after each Accounting Reference Date or within 15 months of the previous Board Confirmation (whichever</w:t>
      </w:r>
      <w:r>
        <w:rPr>
          <w:rFonts w:ascii="Arial" w:eastAsia="Arial" w:hAnsi="Arial"/>
          <w:color w:val="000000"/>
          <w:sz w:val="24"/>
          <w:szCs w:val="24"/>
        </w:rPr>
        <w:t xml:space="preserve"> is the earlier) provide a Board Confirmation to the Relevant Authority in the form set out at Annex 4 to this Schedule, confirming that to the best of the Board’s knowledge and belief, it is not aware of and has no knowledge:</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w:t>
      </w:r>
      <w:r>
        <w:rPr>
          <w:rFonts w:ascii="Arial" w:eastAsia="Arial" w:hAnsi="Arial"/>
          <w:color w:val="000000"/>
          <w:sz w:val="24"/>
          <w:szCs w:val="24"/>
        </w:rPr>
        <w:t>nt has occurred since the later of the Effective Date or the previous Board Confirmation or is subsisting; or</w:t>
      </w:r>
    </w:p>
    <w:p w:rsidR="00524293" w:rsidRDefault="002849CE">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w:t>
      </w:r>
      <w:r>
        <w:rPr>
          <w:rFonts w:ascii="Arial" w:eastAsia="Arial" w:hAnsi="Arial"/>
          <w:color w:val="000000"/>
          <w:sz w:val="24"/>
          <w:szCs w:val="24"/>
        </w:rPr>
        <w:t>ure that in its preparation of the Board Confirmation it exercises due care and diligence and has made reasonable enquiry of all relevant Supplier Staff and other persons as is reasonably necessary to understand and confirm the position.</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 xml:space="preserve">In respect of the </w:t>
      </w:r>
      <w:r>
        <w:rPr>
          <w:rFonts w:ascii="Arial" w:eastAsia="Arial" w:hAnsi="Arial"/>
          <w:color w:val="000000"/>
          <w:sz w:val="24"/>
          <w:szCs w:val="24"/>
        </w:rPr>
        <w:t>first Board Confirmation to be provided under this Contract, the Supplier shall provide the Board Confirmation within 15 months of the Effective Date if earlier than the timescale for submission set out in Paragraph 8.1 of this Schedule.</w:t>
      </w:r>
    </w:p>
    <w:p w:rsidR="00524293" w:rsidRDefault="002849CE">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olor w:val="000000"/>
          <w:sz w:val="24"/>
          <w:szCs w:val="24"/>
        </w:rPr>
        <w:t>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rsidR="00524293" w:rsidRDefault="00524293">
      <w:pPr>
        <w:pBdr>
          <w:top w:val="nil"/>
          <w:left w:val="nil"/>
          <w:bottom w:val="nil"/>
          <w:right w:val="nil"/>
          <w:between w:val="nil"/>
        </w:pBdr>
        <w:tabs>
          <w:tab w:val="left" w:pos="142"/>
        </w:tabs>
        <w:spacing w:before="120"/>
        <w:ind w:left="360" w:hanging="360"/>
        <w:rPr>
          <w:rFonts w:eastAsia="Calibri" w:cs="Calibri"/>
          <w:b/>
          <w:smallCaps/>
          <w:color w:val="000000"/>
        </w:rPr>
      </w:pPr>
    </w:p>
    <w:p w:rsidR="00524293" w:rsidRDefault="002849CE">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524293" w:rsidRDefault="002849C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Dunn &amp; Bradstreet</w:t>
      </w:r>
    </w:p>
    <w:p w:rsidR="00524293" w:rsidRDefault="002849CE">
      <w:pPr>
        <w:spacing w:after="200" w:line="276" w:lineRule="auto"/>
        <w:jc w:val="left"/>
        <w:rPr>
          <w:rFonts w:ascii="Arial" w:eastAsia="Arial" w:hAnsi="Arial"/>
          <w:sz w:val="24"/>
          <w:szCs w:val="24"/>
        </w:rPr>
      </w:pPr>
      <w:r>
        <w:br w:type="page"/>
      </w:r>
    </w:p>
    <w:p w:rsidR="00524293" w:rsidRDefault="002849CE">
      <w:pPr>
        <w:pBdr>
          <w:top w:val="nil"/>
          <w:left w:val="nil"/>
          <w:bottom w:val="nil"/>
          <w:right w:val="nil"/>
          <w:between w:val="nil"/>
        </w:pBdr>
        <w:spacing w:before="100" w:after="300"/>
        <w:rPr>
          <w:rFonts w:ascii="Arial Bold" w:eastAsia="Arial Bold" w:hAnsi="Arial Bold" w:cs="Arial Bold"/>
          <w:b/>
          <w:color w:val="000000"/>
          <w:sz w:val="24"/>
          <w:szCs w:val="24"/>
        </w:rPr>
      </w:pPr>
      <w:bookmarkStart w:id="4" w:name="_heading=h.2bn6wsx" w:colFirst="0" w:colLast="0"/>
      <w:bookmarkEnd w:id="4"/>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p w:rsidR="00524293" w:rsidRDefault="002849CE">
      <w:pPr>
        <w:keepNext/>
        <w:jc w:val="left"/>
        <w:rPr>
          <w:rFonts w:ascii="Arial Bold" w:eastAsia="Arial Bold" w:hAnsi="Arial Bold" w:cs="Arial Bold"/>
          <w:b/>
          <w:sz w:val="24"/>
          <w:szCs w:val="24"/>
        </w:rPr>
      </w:pPr>
      <w:r>
        <w:rPr>
          <w:rFonts w:ascii="Arial" w:eastAsia="Arial" w:hAnsi="Arial"/>
          <w:b/>
          <w:sz w:val="24"/>
          <w:szCs w:val="24"/>
        </w:rPr>
        <w:t>Part 1: Current Rating</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24293">
        <w:tc>
          <w:tcPr>
            <w:tcW w:w="3080" w:type="dxa"/>
            <w:tcBorders>
              <w:top w:val="single" w:sz="4" w:space="0" w:color="000000"/>
            </w:tcBorders>
            <w:shd w:val="clear" w:color="auto" w:fill="FFFFFF"/>
          </w:tcPr>
          <w:p w:rsidR="00524293" w:rsidRDefault="002849C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524293" w:rsidRDefault="002849C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524293">
        <w:tc>
          <w:tcPr>
            <w:tcW w:w="3080" w:type="dxa"/>
            <w:shd w:val="clear" w:color="auto" w:fill="FFFFFF"/>
          </w:tcPr>
          <w:p w:rsidR="00524293" w:rsidRDefault="002849C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524293" w:rsidRDefault="002849C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See lot specific thresholds below</w:t>
            </w:r>
          </w:p>
        </w:tc>
      </w:tr>
      <w:tr w:rsidR="00524293">
        <w:tc>
          <w:tcPr>
            <w:tcW w:w="3080" w:type="dxa"/>
            <w:shd w:val="clear" w:color="auto" w:fill="FFFFFF"/>
          </w:tcPr>
          <w:p w:rsidR="00524293" w:rsidRDefault="002849C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Guarantor</w:t>
            </w:r>
          </w:p>
        </w:tc>
        <w:tc>
          <w:tcPr>
            <w:tcW w:w="3081" w:type="dxa"/>
            <w:shd w:val="clear" w:color="auto" w:fill="FFFFFF"/>
          </w:tcPr>
          <w:p w:rsidR="00524293" w:rsidRDefault="002849C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40</w:t>
            </w:r>
          </w:p>
        </w:tc>
      </w:tr>
      <w:tr w:rsidR="00524293">
        <w:tc>
          <w:tcPr>
            <w:tcW w:w="3080" w:type="dxa"/>
            <w:tcBorders>
              <w:bottom w:val="single" w:sz="4" w:space="0" w:color="000000"/>
            </w:tcBorders>
            <w:shd w:val="clear" w:color="auto" w:fill="FFFFFF"/>
          </w:tcPr>
          <w:p w:rsidR="00524293" w:rsidRDefault="002849C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Key Subcontractor</w:t>
            </w:r>
          </w:p>
        </w:tc>
        <w:tc>
          <w:tcPr>
            <w:tcW w:w="3081" w:type="dxa"/>
            <w:tcBorders>
              <w:bottom w:val="single" w:sz="4" w:space="0" w:color="000000"/>
            </w:tcBorders>
            <w:shd w:val="clear" w:color="auto" w:fill="FFFFFF"/>
          </w:tcPr>
          <w:p w:rsidR="00524293" w:rsidRDefault="002849C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rPr>
              <w:t>40</w:t>
            </w:r>
          </w:p>
        </w:tc>
      </w:tr>
    </w:tbl>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2849CE">
      <w:pPr>
        <w:spacing w:after="0"/>
        <w:rPr>
          <w:rFonts w:ascii="Arial" w:eastAsia="Arial" w:hAnsi="Arial"/>
          <w:b/>
          <w:sz w:val="24"/>
          <w:szCs w:val="24"/>
        </w:rPr>
      </w:pPr>
      <w:r>
        <w:rPr>
          <w:rFonts w:ascii="Arial" w:eastAsia="Arial" w:hAnsi="Arial"/>
          <w:b/>
          <w:sz w:val="24"/>
          <w:szCs w:val="24"/>
        </w:rPr>
        <w:t>Part 2: Credit Rating Threshold</w:t>
      </w:r>
    </w:p>
    <w:p w:rsidR="00524293" w:rsidRDefault="00524293">
      <w:pPr>
        <w:spacing w:after="0"/>
        <w:rPr>
          <w:rFonts w:ascii="Arial" w:eastAsia="Arial" w:hAnsi="Arial"/>
          <w:b/>
          <w:sz w:val="24"/>
          <w:szCs w:val="24"/>
        </w:rPr>
      </w:pPr>
    </w:p>
    <w:tbl>
      <w:tblPr>
        <w:tblStyle w:val="a3"/>
        <w:tblW w:w="6255"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55"/>
        <w:gridCol w:w="3300"/>
      </w:tblGrid>
      <w:tr w:rsidR="00524293">
        <w:tc>
          <w:tcPr>
            <w:tcW w:w="2955" w:type="dxa"/>
            <w:shd w:val="clear" w:color="auto" w:fill="auto"/>
            <w:tcMar>
              <w:top w:w="100" w:type="dxa"/>
              <w:left w:w="100" w:type="dxa"/>
              <w:bottom w:w="100" w:type="dxa"/>
              <w:right w:w="100" w:type="dxa"/>
            </w:tcMar>
          </w:tcPr>
          <w:p w:rsidR="00524293" w:rsidRDefault="002849CE">
            <w:pPr>
              <w:widowControl w:val="0"/>
              <w:spacing w:after="0"/>
              <w:jc w:val="left"/>
              <w:rPr>
                <w:rFonts w:ascii="Arial" w:eastAsia="Arial" w:hAnsi="Arial"/>
                <w:b/>
                <w:sz w:val="24"/>
                <w:szCs w:val="24"/>
              </w:rPr>
            </w:pPr>
            <w:r>
              <w:rPr>
                <w:rFonts w:ascii="Arial" w:eastAsia="Arial" w:hAnsi="Arial"/>
                <w:b/>
                <w:sz w:val="24"/>
                <w:szCs w:val="24"/>
              </w:rPr>
              <w:t>Lot No. &amp; Description</w:t>
            </w:r>
          </w:p>
        </w:tc>
        <w:tc>
          <w:tcPr>
            <w:tcW w:w="3300" w:type="dxa"/>
            <w:shd w:val="clear" w:color="auto" w:fill="auto"/>
            <w:tcMar>
              <w:top w:w="100" w:type="dxa"/>
              <w:left w:w="100" w:type="dxa"/>
              <w:bottom w:w="100" w:type="dxa"/>
              <w:right w:w="100" w:type="dxa"/>
            </w:tcMar>
          </w:tcPr>
          <w:p w:rsidR="00524293" w:rsidRDefault="002849CE">
            <w:pPr>
              <w:widowControl w:val="0"/>
              <w:spacing w:after="0"/>
              <w:jc w:val="left"/>
              <w:rPr>
                <w:rFonts w:ascii="Arial" w:eastAsia="Arial" w:hAnsi="Arial"/>
                <w:b/>
                <w:sz w:val="24"/>
                <w:szCs w:val="24"/>
              </w:rPr>
            </w:pPr>
            <w:r>
              <w:rPr>
                <w:rFonts w:ascii="Arial" w:eastAsia="Arial" w:hAnsi="Arial"/>
                <w:b/>
                <w:sz w:val="24"/>
                <w:szCs w:val="24"/>
              </w:rPr>
              <w:t>Credit rating threshold</w:t>
            </w:r>
          </w:p>
        </w:tc>
      </w:tr>
      <w:tr w:rsidR="00524293">
        <w:tc>
          <w:tcPr>
            <w:tcW w:w="2955" w:type="dxa"/>
            <w:shd w:val="clear" w:color="auto" w:fill="auto"/>
            <w:tcMar>
              <w:top w:w="100" w:type="dxa"/>
              <w:left w:w="100" w:type="dxa"/>
              <w:bottom w:w="100" w:type="dxa"/>
              <w:right w:w="100" w:type="dxa"/>
            </w:tcMar>
          </w:tcPr>
          <w:p w:rsidR="00524293" w:rsidRDefault="002849CE">
            <w:pPr>
              <w:widowControl w:val="0"/>
              <w:spacing w:after="0"/>
              <w:jc w:val="left"/>
              <w:rPr>
                <w:rFonts w:ascii="Arial" w:eastAsia="Arial" w:hAnsi="Arial"/>
                <w:b/>
              </w:rPr>
            </w:pPr>
            <w:r>
              <w:rPr>
                <w:rFonts w:ascii="Arial" w:eastAsia="Arial" w:hAnsi="Arial"/>
                <w:b/>
              </w:rPr>
              <w:t xml:space="preserve">Lot 1 </w:t>
            </w:r>
            <w:r>
              <w:rPr>
                <w:rFonts w:ascii="Arial" w:eastAsia="Arial" w:hAnsi="Arial"/>
              </w:rPr>
              <w:t>Print and Digital Communications - Direct Award</w:t>
            </w:r>
          </w:p>
        </w:tc>
        <w:tc>
          <w:tcPr>
            <w:tcW w:w="3300" w:type="dxa"/>
            <w:shd w:val="clear" w:color="auto" w:fill="auto"/>
            <w:tcMar>
              <w:top w:w="100" w:type="dxa"/>
              <w:left w:w="100" w:type="dxa"/>
              <w:bottom w:w="100" w:type="dxa"/>
              <w:right w:w="100" w:type="dxa"/>
            </w:tcMar>
          </w:tcPr>
          <w:p w:rsidR="00524293" w:rsidRDefault="002849CE">
            <w:pPr>
              <w:widowControl w:val="0"/>
              <w:spacing w:after="0"/>
              <w:jc w:val="left"/>
              <w:rPr>
                <w:rFonts w:ascii="Arial" w:eastAsia="Arial" w:hAnsi="Arial"/>
                <w:b/>
                <w:sz w:val="24"/>
                <w:szCs w:val="24"/>
              </w:rPr>
            </w:pPr>
            <w:r>
              <w:rPr>
                <w:rFonts w:ascii="Arial" w:eastAsia="Arial" w:hAnsi="Arial"/>
                <w:b/>
                <w:sz w:val="24"/>
                <w:szCs w:val="24"/>
              </w:rPr>
              <w:t>60</w:t>
            </w:r>
          </w:p>
        </w:tc>
      </w:tr>
      <w:tr w:rsidR="00524293">
        <w:tc>
          <w:tcPr>
            <w:tcW w:w="2955" w:type="dxa"/>
            <w:shd w:val="clear" w:color="auto" w:fill="auto"/>
            <w:tcMar>
              <w:top w:w="100" w:type="dxa"/>
              <w:left w:w="100" w:type="dxa"/>
              <w:bottom w:w="100" w:type="dxa"/>
              <w:right w:w="100" w:type="dxa"/>
            </w:tcMar>
          </w:tcPr>
          <w:p w:rsidR="00524293" w:rsidRDefault="002849CE">
            <w:pPr>
              <w:widowControl w:val="0"/>
              <w:spacing w:after="0"/>
              <w:jc w:val="left"/>
              <w:rPr>
                <w:rFonts w:ascii="Arial" w:eastAsia="Arial" w:hAnsi="Arial"/>
                <w:sz w:val="24"/>
                <w:szCs w:val="24"/>
              </w:rPr>
            </w:pPr>
            <w:r>
              <w:rPr>
                <w:rFonts w:ascii="Arial" w:eastAsia="Arial" w:hAnsi="Arial"/>
                <w:b/>
                <w:sz w:val="24"/>
                <w:szCs w:val="24"/>
              </w:rPr>
              <w:t>Lot 2</w:t>
            </w:r>
            <w:r>
              <w:rPr>
                <w:rFonts w:ascii="Arial" w:eastAsia="Arial" w:hAnsi="Arial"/>
                <w:sz w:val="24"/>
                <w:szCs w:val="24"/>
              </w:rPr>
              <w:t xml:space="preserve"> Print and Digital Communications - Further Competition</w:t>
            </w:r>
          </w:p>
        </w:tc>
        <w:tc>
          <w:tcPr>
            <w:tcW w:w="3300" w:type="dxa"/>
            <w:shd w:val="clear" w:color="auto" w:fill="auto"/>
            <w:tcMar>
              <w:top w:w="100" w:type="dxa"/>
              <w:left w:w="100" w:type="dxa"/>
              <w:bottom w:w="100" w:type="dxa"/>
              <w:right w:w="100" w:type="dxa"/>
            </w:tcMar>
          </w:tcPr>
          <w:p w:rsidR="00524293" w:rsidRDefault="002849CE">
            <w:pPr>
              <w:widowControl w:val="0"/>
              <w:spacing w:after="0"/>
              <w:jc w:val="left"/>
              <w:rPr>
                <w:rFonts w:ascii="Arial" w:eastAsia="Arial" w:hAnsi="Arial"/>
                <w:b/>
                <w:sz w:val="24"/>
                <w:szCs w:val="24"/>
              </w:rPr>
            </w:pPr>
            <w:r>
              <w:rPr>
                <w:rFonts w:ascii="Arial" w:eastAsia="Arial" w:hAnsi="Arial"/>
                <w:b/>
                <w:sz w:val="24"/>
                <w:szCs w:val="24"/>
              </w:rPr>
              <w:t>40</w:t>
            </w:r>
          </w:p>
        </w:tc>
      </w:tr>
    </w:tbl>
    <w:p w:rsidR="00524293" w:rsidRDefault="002849CE">
      <w:pPr>
        <w:spacing w:after="200" w:line="276" w:lineRule="auto"/>
        <w:jc w:val="left"/>
        <w:rPr>
          <w:rFonts w:ascii="Arial" w:eastAsia="Arial" w:hAnsi="Arial"/>
          <w:sz w:val="24"/>
          <w:szCs w:val="24"/>
        </w:rPr>
      </w:pPr>
      <w:r>
        <w:br w:type="page"/>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rsidR="00524293" w:rsidRDefault="00524293">
      <w:pPr>
        <w:pBdr>
          <w:top w:val="nil"/>
          <w:left w:val="nil"/>
          <w:bottom w:val="nil"/>
          <w:right w:val="nil"/>
          <w:between w:val="nil"/>
        </w:pBdr>
        <w:spacing w:before="100" w:after="200"/>
        <w:jc w:val="left"/>
        <w:rPr>
          <w:rFonts w:ascii="Arial" w:eastAsia="Arial" w:hAnsi="Arial"/>
          <w:b/>
          <w:i/>
          <w:color w:val="000000"/>
          <w:sz w:val="24"/>
          <w:szCs w:val="24"/>
        </w:rPr>
      </w:pPr>
      <w:bookmarkStart w:id="5" w:name="_heading=h.qsh70q" w:colFirst="0" w:colLast="0"/>
      <w:bookmarkEnd w:id="5"/>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524293" w:rsidRDefault="002849CE">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olor w:val="000000"/>
          <w:sz w:val="24"/>
          <w:szCs w:val="24"/>
        </w:rPr>
        <w:t>r to a surplus or deficit rather than a profit or loss).</w:t>
      </w:r>
    </w:p>
    <w:p w:rsidR="00524293" w:rsidRDefault="002849CE">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6" w:name="_heading=h.3as4poj"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524293" w:rsidRDefault="002849CE">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w:t>
      </w:r>
      <w:r>
        <w:rPr>
          <w:rFonts w:ascii="Arial" w:eastAsia="Arial" w:hAnsi="Arial"/>
          <w:color w:val="000000"/>
          <w:sz w:val="24"/>
          <w:szCs w:val="24"/>
        </w:rPr>
        <w:t xml:space="preserve"> foreign currencies should be converted at the exchange rate in force at the relevant date for which the Financial Indicator is being calculated.</w:t>
      </w:r>
    </w:p>
    <w:p w:rsidR="00524293" w:rsidRDefault="002849CE">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w:t>
      </w:r>
      <w:r>
        <w:rPr>
          <w:rFonts w:ascii="Arial" w:eastAsia="Arial" w:hAnsi="Arial"/>
          <w:color w:val="000000"/>
          <w:sz w:val="24"/>
          <w:szCs w:val="24"/>
        </w:rPr>
        <w:t>ents before adjusting for non-underlying items.</w:t>
      </w:r>
    </w:p>
    <w:p w:rsidR="00524293" w:rsidRDefault="002849CE">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524293">
        <w:tc>
          <w:tcPr>
            <w:tcW w:w="2538" w:type="dxa"/>
            <w:shd w:val="clear" w:color="auto" w:fill="D9D9D9"/>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524293">
        <w:tc>
          <w:tcPr>
            <w:tcW w:w="2538"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w:t>
            </w:r>
            <w:r>
              <w:rPr>
                <w:rFonts w:ascii="Arial" w:eastAsia="Arial" w:hAnsi="Arial"/>
                <w:color w:val="000000"/>
                <w:sz w:val="24"/>
                <w:szCs w:val="24"/>
              </w:rPr>
              <w:t>es or Associates.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524293">
        <w:tc>
          <w:tcPr>
            <w:tcW w:w="2538" w:type="dxa"/>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xml:space="preserve">” = Bank overdrafts + Loans and borrowings + Finance Leases + Deferred consideration </w:t>
            </w:r>
            <w:r>
              <w:rPr>
                <w:rFonts w:ascii="Arial" w:eastAsia="Arial" w:hAnsi="Arial"/>
                <w:i/>
                <w:color w:val="000000"/>
                <w:sz w:val="24"/>
                <w:szCs w:val="24"/>
              </w:rPr>
              <w:t>payable – Cash and cash equivalents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The majority of the elements used to calculate the Free Cash Flow to Net Debt Ratio should be shown on the face of the Statement of Cash Flows and the Balance Sheet in a standard set of financial statements.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t>
            </w:r>
            <w:r>
              <w:rPr>
                <w:rFonts w:ascii="Arial" w:eastAsia="Arial" w:hAnsi="Arial"/>
                <w:i/>
                <w:color w:val="000000"/>
                <w:sz w:val="24"/>
                <w:szCs w:val="24"/>
                <w:u w:val="single"/>
              </w:rPr>
              <w:t>w from Operating Activities</w:t>
            </w:r>
            <w:r>
              <w:rPr>
                <w:rFonts w:ascii="Arial" w:eastAsia="Arial" w:hAnsi="Arial"/>
                <w:color w:val="000000"/>
                <w:sz w:val="24"/>
                <w:szCs w:val="24"/>
              </w:rPr>
              <w:t>: This should be stated after deduction of interest and tax paid.</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xml:space="preserve">: The elements of capital expenditure may be described slightly differently but will be found under ‘Cash flows from investing activities’ in the Statement of Cash Flows; they should be limited to the purchase of fixed assets (including intangible assets) </w:t>
            </w:r>
            <w:r>
              <w:rPr>
                <w:rFonts w:ascii="Arial" w:eastAsia="Arial" w:hAnsi="Arial"/>
                <w:color w:val="000000"/>
                <w:sz w:val="24"/>
                <w:szCs w:val="24"/>
              </w:rPr>
              <w:t>for the business and exclude acquisitions. The figure should be shown gross without any deduction for any proceeds of sale of fixed assets.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also be described slightly differently and should be found either on the face</w:t>
            </w:r>
            <w:r>
              <w:rPr>
                <w:rFonts w:ascii="Arial" w:eastAsia="Arial" w:hAnsi="Arial"/>
                <w:color w:val="000000"/>
                <w:sz w:val="24"/>
                <w:szCs w:val="24"/>
              </w:rPr>
              <w:t xml:space="preserve"> of the Balance Sheet or in the relevant note to the financial statements. All interest bearing liabilities (other than retirement benefit obligations) should be treated as borrowings as should, where disclosed, any liabilities (less any assets) in </w:t>
            </w:r>
            <w:proofErr w:type="gramStart"/>
            <w:r>
              <w:rPr>
                <w:rFonts w:ascii="Arial" w:eastAsia="Arial" w:hAnsi="Arial"/>
                <w:color w:val="000000"/>
                <w:sz w:val="24"/>
                <w:szCs w:val="24"/>
              </w:rPr>
              <w:t>respect</w:t>
            </w:r>
            <w:r>
              <w:rPr>
                <w:rFonts w:ascii="Arial" w:eastAsia="Arial" w:hAnsi="Arial"/>
                <w:color w:val="000000"/>
                <w:sz w:val="24"/>
                <w:szCs w:val="24"/>
              </w:rPr>
              <w:t xml:space="preserve">  of</w:t>
            </w:r>
            <w:proofErr w:type="gramEnd"/>
            <w:r>
              <w:rPr>
                <w:rFonts w:ascii="Arial" w:eastAsia="Arial" w:hAnsi="Arial"/>
                <w:color w:val="000000"/>
                <w:sz w:val="24"/>
                <w:szCs w:val="24"/>
              </w:rPr>
              <w:t xml:space="preserve"> any hedges designated as linked to borrowings (but not non-designated hedges). Borrowings should also include balances owed to other group members.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w:t>
            </w:r>
            <w:r>
              <w:rPr>
                <w:rFonts w:ascii="Arial" w:eastAsia="Arial" w:hAnsi="Arial"/>
                <w:color w:val="000000"/>
                <w:sz w:val="24"/>
                <w:szCs w:val="24"/>
              </w:rPr>
              <w:t>ing.</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w:t>
            </w:r>
            <w:r>
              <w:rPr>
                <w:rFonts w:ascii="Arial" w:eastAsia="Arial" w:hAnsi="Arial"/>
                <w:color w:val="000000"/>
                <w:sz w:val="24"/>
                <w:szCs w:val="24"/>
              </w:rPr>
              <w:t>EBITDA Ratio should be shown on the face of the Balance sheet, Income statement and Statement of Cash Flows in a standard set of financial statements but will otherwise be found in the notes to the financial statements.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lastRenderedPageBreak/>
              <w:t>Net Debt</w:t>
            </w:r>
            <w:r>
              <w:rPr>
                <w:rFonts w:ascii="Arial" w:eastAsia="Arial" w:hAnsi="Arial"/>
                <w:color w:val="000000"/>
                <w:sz w:val="24"/>
                <w:szCs w:val="24"/>
              </w:rPr>
              <w:t>: The elements of Net Debt m</w:t>
            </w:r>
            <w:r>
              <w:rPr>
                <w:rFonts w:ascii="Arial" w:eastAsia="Arial" w:hAnsi="Arial"/>
                <w:color w:val="000000"/>
                <w:sz w:val="24"/>
                <w:szCs w:val="24"/>
              </w:rPr>
              <w:t xml:space="preserve">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w:t>
            </w:r>
            <w:r>
              <w:rPr>
                <w:rFonts w:ascii="Arial" w:eastAsia="Arial" w:hAnsi="Arial"/>
                <w:color w:val="000000"/>
                <w:sz w:val="24"/>
                <w:szCs w:val="24"/>
              </w:rPr>
              <w:t>ngs as should, where disclosed, any liabilities (less any assets) in respect of any hedges designated as linked to borrowings (but not non-designated hedges). Borrowings should also include balances owed to other group members.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w:t>
            </w:r>
            <w:r>
              <w:rPr>
                <w:rFonts w:ascii="Arial" w:eastAsia="Arial" w:hAnsi="Arial"/>
                <w:color w:val="000000"/>
                <w:sz w:val="24"/>
                <w:szCs w:val="24"/>
              </w:rPr>
              <w:t>le should be included in Net Debt despite typically being non-interest bearing.</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w:t>
            </w:r>
            <w:r>
              <w:rPr>
                <w:rFonts w:ascii="Arial" w:eastAsia="Arial" w:hAnsi="Arial"/>
                <w:color w:val="000000"/>
                <w:sz w:val="24"/>
                <w:szCs w:val="24"/>
              </w:rPr>
              <w:t xml:space="preserve">ial Target Threshold should be treated as having been met. </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bookmarkStart w:id="7" w:name="_heading=h.1pxezwc" w:colFirst="0" w:colLast="0"/>
            <w:bookmarkEnd w:id="7"/>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w:t>
            </w:r>
            <w:r>
              <w:rPr>
                <w:rFonts w:ascii="Arial" w:eastAsia="Arial" w:hAnsi="Arial"/>
                <w:color w:val="000000"/>
                <w:sz w:val="24"/>
                <w:szCs w:val="24"/>
              </w:rPr>
              <w:t xml:space="preserve">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w:t>
            </w:r>
            <w:r>
              <w:rPr>
                <w:rFonts w:ascii="Arial" w:eastAsia="Arial" w:hAnsi="Arial"/>
                <w:i/>
                <w:color w:val="000000"/>
                <w:sz w:val="24"/>
                <w:szCs w:val="24"/>
              </w:rPr>
              <w:t xml:space="preserve"> as not having been met (unless Net Debt is also negative, in which case the relevant Financial Target Threshold should be treated as having been met).</w:t>
            </w:r>
          </w:p>
        </w:tc>
      </w:tr>
      <w:tr w:rsidR="00524293">
        <w:tc>
          <w:tcPr>
            <w:tcW w:w="2538" w:type="dxa"/>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 xml:space="preserve">Net Debt + </w:t>
            </w:r>
            <w:proofErr w:type="gramStart"/>
            <w:r>
              <w:rPr>
                <w:rFonts w:ascii="Arial" w:eastAsia="Arial" w:hAnsi="Arial"/>
                <w:b/>
                <w:color w:val="000000"/>
                <w:sz w:val="24"/>
                <w:szCs w:val="24"/>
              </w:rPr>
              <w:t>Net  Pension</w:t>
            </w:r>
            <w:proofErr w:type="gramEnd"/>
            <w:r>
              <w:rPr>
                <w:rFonts w:ascii="Arial" w:eastAsia="Arial" w:hAnsi="Arial"/>
                <w:b/>
                <w:color w:val="000000"/>
                <w:sz w:val="24"/>
                <w:szCs w:val="24"/>
              </w:rPr>
              <w:t xml:space="preserve"> Deficit to EBITDA ratio</w:t>
            </w:r>
          </w:p>
        </w:tc>
        <w:tc>
          <w:tcPr>
            <w:tcW w:w="6478" w:type="dxa"/>
          </w:tcPr>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xml:space="preserve">” = Operating profit + Depreciation charge + </w:t>
            </w:r>
            <w:r>
              <w:rPr>
                <w:rFonts w:ascii="Arial" w:eastAsia="Arial" w:hAnsi="Arial"/>
                <w:i/>
                <w:color w:val="000000"/>
                <w:sz w:val="24"/>
                <w:szCs w:val="24"/>
              </w:rPr>
              <w:t>Amortisation charge</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 Net Pension Deficit to EBITDA Ratio should be shown on the face of the Balance sheet, Income statement and Statement of Cash Flows in a standard set of financial statements b</w:t>
            </w:r>
            <w:r>
              <w:rPr>
                <w:rFonts w:ascii="Arial" w:eastAsia="Arial" w:hAnsi="Arial"/>
                <w:color w:val="000000"/>
                <w:sz w:val="24"/>
                <w:szCs w:val="24"/>
              </w:rPr>
              <w:t>ut will otherwise be found in the notes to the financial statements.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w:t>
            </w:r>
            <w:r>
              <w:rPr>
                <w:rFonts w:ascii="Arial" w:eastAsia="Arial" w:hAnsi="Arial"/>
                <w:color w:val="000000"/>
                <w:sz w:val="24"/>
                <w:szCs w:val="24"/>
              </w:rPr>
              <w:lastRenderedPageBreak/>
              <w:t xml:space="preserve">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w:t>
            </w:r>
            <w:r>
              <w:rPr>
                <w:rFonts w:ascii="Arial" w:eastAsia="Arial" w:hAnsi="Arial"/>
                <w:color w:val="000000"/>
                <w:sz w:val="24"/>
                <w:szCs w:val="24"/>
              </w:rPr>
              <w:t xml:space="preserve">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Retirement Benefit Obligatio</w:t>
            </w:r>
            <w:r>
              <w:rPr>
                <w:rFonts w:ascii="Arial" w:eastAsia="Arial" w:hAnsi="Arial"/>
                <w:color w:val="000000"/>
                <w:sz w:val="24"/>
                <w:szCs w:val="24"/>
              </w:rPr>
              <w:t xml:space="preserve">ns and Retirement Benefit Assets may be shown on the face of the Balance Sheet or in the notes to the financial statements. They may also be described as pension benefits / obligations, post-employment obligations or other similar terms. </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w:t>
            </w:r>
            <w:r>
              <w:rPr>
                <w:rFonts w:ascii="Arial" w:eastAsia="Arial" w:hAnsi="Arial"/>
                <w:color w:val="000000"/>
                <w:sz w:val="24"/>
                <w:szCs w:val="24"/>
              </w:rPr>
              <w:t xml:space="preserve"> Net Pension Deficit’ is negative, the relevant Financial Target Threshold should be treated as having been met.</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w:t>
            </w:r>
            <w:r>
              <w:rPr>
                <w:rFonts w:ascii="Arial" w:eastAsia="Arial" w:hAnsi="Arial"/>
                <w:color w:val="000000"/>
                <w:sz w:val="24"/>
                <w:szCs w:val="24"/>
              </w:rPr>
              <w:t>uld include the entity’s share of the results of any joint ventures or Associates.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bookmarkStart w:id="8" w:name="_heading=h.49x2ik5"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w:t>
            </w:r>
            <w:r>
              <w:rPr>
                <w:rFonts w:ascii="Arial" w:eastAsia="Arial" w:hAnsi="Arial"/>
                <w:color w:val="000000"/>
                <w:sz w:val="24"/>
                <w:szCs w:val="24"/>
              </w:rPr>
              <w:t xml:space="preserve"> relevant Financial Target Threshold should be treated as not having been met (unless ‘Net Debt + Net Pension Deficit’ is also negative, in which case the relevant Financial Target Threshold should be regarded as having been met).</w:t>
            </w:r>
          </w:p>
        </w:tc>
      </w:tr>
      <w:tr w:rsidR="00524293">
        <w:tc>
          <w:tcPr>
            <w:tcW w:w="2538"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w:t>
            </w:r>
            <w:r>
              <w:rPr>
                <w:rFonts w:ascii="Arial" w:eastAsia="Arial" w:hAnsi="Arial"/>
                <w:color w:val="000000"/>
                <w:sz w:val="24"/>
                <w:szCs w:val="24"/>
              </w:rPr>
              <w:t>es.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Interest received and interest paid should be shown on the face of the Cash Flow statement.</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524293">
        <w:tc>
          <w:tcPr>
            <w:tcW w:w="2538"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524293">
        <w:tc>
          <w:tcPr>
            <w:tcW w:w="2538"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w:t>
            </w:r>
            <w:r>
              <w:rPr>
                <w:rFonts w:ascii="Arial" w:eastAsia="Arial" w:hAnsi="Arial"/>
                <w:color w:val="000000"/>
                <w:sz w:val="24"/>
                <w:szCs w:val="24"/>
              </w:rPr>
              <w:t>here an entity has a majority interest in another entity in which there are also minority or non-controlling interests (i.e. where it has a subsidiary partially owned by outside investors), Net Assets should be taken inclusive of minority or non-controllin</w:t>
            </w:r>
            <w:r>
              <w:rPr>
                <w:rFonts w:ascii="Arial" w:eastAsia="Arial" w:hAnsi="Arial"/>
                <w:color w:val="000000"/>
                <w:sz w:val="24"/>
                <w:szCs w:val="24"/>
              </w:rPr>
              <w:t>g interests (as if the entity owned 100% of such entity).</w:t>
            </w:r>
          </w:p>
        </w:tc>
      </w:tr>
      <w:tr w:rsidR="00524293">
        <w:tc>
          <w:tcPr>
            <w:tcW w:w="2538" w:type="dxa"/>
            <w:vAlign w:val="center"/>
          </w:tcPr>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rsidR="00524293" w:rsidRDefault="002849CE">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w:t>
            </w:r>
            <w:r>
              <w:rPr>
                <w:rFonts w:ascii="Arial" w:eastAsia="Arial" w:hAnsi="Arial"/>
                <w:color w:val="000000"/>
                <w:sz w:val="24"/>
                <w:szCs w:val="24"/>
              </w:rPr>
              <w:t>ular where an entity is not a member of a group or is itself the ultimate holding company of the group.</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Contingent liabilities assumed in support of Group Undertakings are shown in the Contingent Liabilities note in a standard set of financial statements. </w:t>
            </w:r>
            <w:r>
              <w:rPr>
                <w:rFonts w:ascii="Arial" w:eastAsia="Arial" w:hAnsi="Arial"/>
                <w:color w:val="000000"/>
                <w:sz w:val="24"/>
                <w:szCs w:val="24"/>
              </w:rPr>
              <w:t xml:space="preserve">They include guarantees and security given in support of the borrowings of other group companies, often as part of group borrowing arrangements. Where the contingent liabilities are capped, the capped figure should be taken as their value. Where no cap or </w:t>
            </w:r>
            <w:r>
              <w:rPr>
                <w:rFonts w:ascii="Arial" w:eastAsia="Arial" w:hAnsi="Arial"/>
                <w:color w:val="000000"/>
                <w:sz w:val="24"/>
                <w:szCs w:val="24"/>
              </w:rPr>
              <w:t>maximum is specified, the relevant Financial Target Threshold should automatically be regarded as not having been met.</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In many cases an entity may not have assumed any contingent liabilities in support of Group Undertakings, in </w:t>
            </w:r>
            <w:r>
              <w:rPr>
                <w:rFonts w:ascii="Arial" w:eastAsia="Arial" w:hAnsi="Arial"/>
                <w:color w:val="000000"/>
                <w:sz w:val="24"/>
                <w:szCs w:val="24"/>
              </w:rPr>
              <w:lastRenderedPageBreak/>
              <w:t>particular where an entity i</w:t>
            </w:r>
            <w:r>
              <w:rPr>
                <w:rFonts w:ascii="Arial" w:eastAsia="Arial" w:hAnsi="Arial"/>
                <w:color w:val="000000"/>
                <w:sz w:val="24"/>
                <w:szCs w:val="24"/>
              </w:rPr>
              <w:t>s not a member of a group or is itself the ultimate holding company of the group.</w:t>
            </w:r>
          </w:p>
          <w:p w:rsidR="00524293" w:rsidRDefault="002849C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bl>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2849CE">
      <w:pPr>
        <w:spacing w:after="200" w:line="276" w:lineRule="auto"/>
        <w:jc w:val="left"/>
        <w:rPr>
          <w:rFonts w:ascii="Arial" w:eastAsia="Arial" w:hAnsi="Arial"/>
          <w:sz w:val="24"/>
          <w:szCs w:val="24"/>
        </w:rPr>
      </w:pPr>
      <w:r>
        <w:br w:type="page"/>
      </w:r>
    </w:p>
    <w:p w:rsidR="00524293" w:rsidRDefault="002849CE">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9" w:name="_heading=h.2p2csry" w:colFirst="0" w:colLast="0"/>
      <w:bookmarkEnd w:id="9"/>
      <w:r>
        <w:rPr>
          <w:rFonts w:ascii="Arial Bold" w:eastAsia="Arial Bold" w:hAnsi="Arial Bold" w:cs="Arial Bold"/>
          <w:b/>
          <w:smallCaps/>
          <w:color w:val="000000"/>
          <w:sz w:val="24"/>
          <w:szCs w:val="24"/>
        </w:rPr>
        <w:lastRenderedPageBreak/>
        <w:t>Annex 4: Board Confirmation</w:t>
      </w: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524293" w:rsidRDefault="002849CE">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2849CE">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147n2zr"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w:t>
      </w:r>
      <w:r>
        <w:rPr>
          <w:rFonts w:ascii="Arial" w:eastAsia="Arial" w:hAnsi="Arial"/>
          <w:color w:val="000000"/>
          <w:sz w:val="24"/>
          <w:szCs w:val="24"/>
        </w:rPr>
        <w:t>ons as is reasonably necessary to enable the Board to prepare this statement.</w:t>
      </w:r>
    </w:p>
    <w:p w:rsidR="00524293" w:rsidRDefault="002849CE">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rsidR="00524293" w:rsidRDefault="002849CE">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524293" w:rsidRDefault="002849CE">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w:t>
      </w:r>
      <w:r>
        <w:rPr>
          <w:rFonts w:ascii="Arial" w:eastAsia="Arial" w:hAnsi="Arial"/>
          <w:color w:val="000000"/>
          <w:sz w:val="24"/>
          <w:szCs w:val="24"/>
        </w:rPr>
        <w:t xml:space="preserve"> Event</w:t>
      </w: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2849CE">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2849C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524293" w:rsidRDefault="002849C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524293" w:rsidRDefault="002849C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524293" w:rsidRDefault="00524293">
      <w:pPr>
        <w:pBdr>
          <w:top w:val="nil"/>
          <w:left w:val="nil"/>
          <w:bottom w:val="nil"/>
          <w:right w:val="nil"/>
          <w:between w:val="nil"/>
        </w:pBdr>
        <w:spacing w:before="100" w:after="200"/>
        <w:jc w:val="left"/>
        <w:rPr>
          <w:rFonts w:ascii="Arial" w:eastAsia="Arial" w:hAnsi="Arial"/>
          <w:color w:val="000000"/>
          <w:sz w:val="24"/>
          <w:szCs w:val="24"/>
        </w:rPr>
      </w:pPr>
    </w:p>
    <w:p w:rsidR="00524293" w:rsidRDefault="002849C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524293" w:rsidRDefault="002849C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524293" w:rsidRDefault="002849CE">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524293" w:rsidRDefault="00524293">
      <w:pPr>
        <w:spacing w:after="200" w:line="276" w:lineRule="auto"/>
        <w:jc w:val="left"/>
        <w:rPr>
          <w:rFonts w:ascii="Arial" w:eastAsia="Arial" w:hAnsi="Arial"/>
          <w:sz w:val="24"/>
          <w:szCs w:val="24"/>
        </w:rPr>
      </w:pPr>
      <w:bookmarkStart w:id="11" w:name="_heading=h.4i7ojhp" w:colFirst="0" w:colLast="0"/>
      <w:bookmarkEnd w:id="11"/>
    </w:p>
    <w:sectPr w:rsidR="0052429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9CE" w:rsidRDefault="002849CE">
      <w:pPr>
        <w:spacing w:after="0"/>
      </w:pPr>
      <w:r>
        <w:separator/>
      </w:r>
    </w:p>
  </w:endnote>
  <w:endnote w:type="continuationSeparator" w:id="0">
    <w:p w:rsidR="002849CE" w:rsidRDefault="002849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293" w:rsidRDefault="002849CE">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RM6297 Print and Digital Communications                                           </w:t>
    </w:r>
  </w:p>
  <w:p w:rsidR="00524293" w:rsidRDefault="002849C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EF787E">
      <w:rPr>
        <w:rFonts w:ascii="Arial" w:eastAsia="Arial" w:hAnsi="Arial"/>
        <w:color w:val="000000"/>
        <w:sz w:val="20"/>
        <w:szCs w:val="20"/>
      </w:rPr>
      <w:fldChar w:fldCharType="separate"/>
    </w:r>
    <w:r w:rsidR="00EF787E">
      <w:rPr>
        <w:rFonts w:ascii="Arial" w:eastAsia="Arial" w:hAnsi="Arial"/>
        <w:noProof/>
        <w:color w:val="000000"/>
        <w:sz w:val="20"/>
        <w:szCs w:val="20"/>
      </w:rPr>
      <w:t>1</w:t>
    </w:r>
    <w:r>
      <w:rPr>
        <w:rFonts w:ascii="Arial" w:eastAsia="Arial" w:hAnsi="Arial"/>
        <w:color w:val="000000"/>
        <w:sz w:val="20"/>
        <w:szCs w:val="20"/>
      </w:rPr>
      <w:fldChar w:fldCharType="end"/>
    </w:r>
  </w:p>
  <w:p w:rsidR="00524293" w:rsidRDefault="002849CE">
    <w:pPr>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293" w:rsidRDefault="002849CE">
    <w:pPr>
      <w:tabs>
        <w:tab w:val="center" w:pos="4513"/>
        <w:tab w:val="right" w:pos="9026"/>
      </w:tabs>
      <w:spacing w:after="0"/>
      <w:rPr>
        <w:color w:val="BFBFBF"/>
      </w:rPr>
    </w:pPr>
    <w:r>
      <w:rPr>
        <w:color w:val="BFBFBF"/>
      </w:rPr>
      <w:t>Framework Ref: RM</w:t>
    </w:r>
    <w:r>
      <w:rPr>
        <w:color w:val="BFBFBF"/>
      </w:rPr>
      <w:tab/>
      <w:t xml:space="preserve">                       </w:t>
    </w:r>
    <w:r>
      <w:rPr>
        <w:color w:val="BFBFBF"/>
      </w:rPr>
      <w:t xml:space="preserve">                    </w:t>
    </w:r>
  </w:p>
  <w:p w:rsidR="00524293" w:rsidRDefault="002849CE">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524293" w:rsidRDefault="002849CE">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9CE" w:rsidRDefault="002849CE">
      <w:pPr>
        <w:spacing w:after="0"/>
      </w:pPr>
      <w:r>
        <w:separator/>
      </w:r>
    </w:p>
  </w:footnote>
  <w:footnote w:type="continuationSeparator" w:id="0">
    <w:p w:rsidR="002849CE" w:rsidRDefault="002849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293" w:rsidRDefault="002849C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524293" w:rsidRDefault="002849C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953E0F"/>
    <w:multiLevelType w:val="multilevel"/>
    <w:tmpl w:val="2B2EF4B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4981B20"/>
    <w:multiLevelType w:val="multilevel"/>
    <w:tmpl w:val="851053DA"/>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C8E215B"/>
    <w:multiLevelType w:val="multilevel"/>
    <w:tmpl w:val="D45EA08C"/>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293"/>
    <w:rsid w:val="002849CE"/>
    <w:rsid w:val="00524293"/>
    <w:rsid w:val="00EF78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232EF"/>
  <w15:docId w15:val="{86656E22-3EE0-4990-AA50-A03CA69D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8Z6iXgF0GmPSJjLWUw71AYN3A==">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4869</Words>
  <Characters>27755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2025-05-19T14:47:00Z</dcterms:created>
  <dcterms:modified xsi:type="dcterms:W3CDTF">2025-05-19T14:47:00Z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